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01E7" w:rsidRPr="00F901E7" w:rsidRDefault="00F901E7" w:rsidP="00F901E7">
      <w:r w:rsidRPr="00F901E7">
        <w:rPr>
          <w:b/>
          <w:bCs/>
        </w:rPr>
        <w:t>1. Същност на търговските банки</w:t>
      </w:r>
    </w:p>
    <w:p w:rsidR="00F901E7" w:rsidRPr="00F901E7" w:rsidRDefault="00F901E7" w:rsidP="00F901E7">
      <w:r w:rsidRPr="00F901E7">
        <w:t> </w:t>
      </w:r>
    </w:p>
    <w:p w:rsidR="00F901E7" w:rsidRPr="00F901E7" w:rsidRDefault="00F901E7" w:rsidP="00F901E7">
      <w:r w:rsidRPr="00F901E7">
        <w:t>Същността на банките обикновено се разглежда в различни аспекти.</w:t>
      </w:r>
      <w:hyperlink r:id="rId6" w:anchor="sdfootnote1sym" w:history="1">
        <w:r w:rsidRPr="00F901E7">
          <w:rPr>
            <w:rStyle w:val="Hyperlink"/>
            <w:vertAlign w:val="superscript"/>
          </w:rPr>
          <w:t>1</w:t>
        </w:r>
      </w:hyperlink>
    </w:p>
    <w:p w:rsidR="00F901E7" w:rsidRPr="00F901E7" w:rsidRDefault="00F901E7" w:rsidP="00F901E7">
      <w:r w:rsidRPr="00F901E7">
        <w:t xml:space="preserve">В </w:t>
      </w:r>
      <w:r w:rsidRPr="00F901E7">
        <w:rPr>
          <w:i/>
          <w:iCs/>
        </w:rPr>
        <w:t>генетичния аспект</w:t>
      </w:r>
      <w:r w:rsidRPr="00F901E7">
        <w:t xml:space="preserve"> се акцентира връзката на банките с исторически породилите ги парично-кредитни процеси. В този аспект същността на банките се търси преди всичко в тяхната посредническа функция, а самата тя се представя като финансов посредник. Действително исторически тя е била в основата на банковата дейност в ранните етапи в развитието на банковото дело. В този смисъл банката се определя като финансова институция, която е посредник при извършването на операции с пари и парични капитали. Ударението тук се поставя главно върху разпределителните функции на банките, които осъществяват акумулиране на временно свободни парични ресурси и извършват тяхното насочване в съответни направления. От това определение за банките следват два основни извода: 1) на банката се утвърждава пасивна роля на обикновен посредник при движението на парите 2) при взаимната връзка между банковите активи и пасиви приоритет са дава на техните пасивни операции, т. е. операциите по набирането, акумулирането на пари и парични капитали, които от своя страна предопределят какви активни операции ще извърши банката и 3) банката се представя като финансов посредник. Исторически това е най-старото тълкуване на природата на банките.</w:t>
      </w:r>
    </w:p>
    <w:p w:rsidR="00F901E7" w:rsidRPr="00F901E7" w:rsidRDefault="00F901E7" w:rsidP="00F901E7">
      <w:r w:rsidRPr="00F901E7">
        <w:t xml:space="preserve">без да се отрича преразпределителната функция на банките, </w:t>
      </w:r>
      <w:r w:rsidRPr="00F901E7">
        <w:rPr>
          <w:i/>
          <w:iCs/>
        </w:rPr>
        <w:t>функционалният аспект</w:t>
      </w:r>
      <w:r w:rsidRPr="00F901E7">
        <w:t xml:space="preserve"> търси новата, активната им роля в икономиката. В този смисъл банката не е само обикновен пасивен посредник при преразпределените на парите, но и финансова институция която активно въздейства върху развитието на стопанските процеси, чрез системата от финансови продукти и услуги, които тя произвежда и предлага. В този случай се изтъква и т. нар. капиталотворческа роля на банките, свеждана до техните способности да събират много на брой, но малки парични суми и спестявания, които сами по себе си нямат характера на капитали и на тяхна основа събрани на едно място да формират мощни, големи парични потоци, имащи характера на капитали</w:t>
      </w:r>
    </w:p>
    <w:p w:rsidR="00F901E7" w:rsidRPr="00F901E7" w:rsidRDefault="00F901E7" w:rsidP="00F901E7">
      <w:r w:rsidRPr="00F901E7">
        <w:t>Следователно в този аспект същността на банките се открояват няколко момента: 1) акцентира се върху активната капиталотворческа роля на банките върху стопанските процеси и явления; 2) от балансова гледна точка се дава приоритет на активните пред пасивните банкови операции, т. е. банките се стремят да формират своите пасиви (ресурси) според това какви активни операции извършват или възнамеряват да извършат; 3) на банката се гледа като на финансово предприятие.</w:t>
      </w:r>
    </w:p>
    <w:p w:rsidR="00F901E7" w:rsidRPr="00F901E7" w:rsidRDefault="00F901E7" w:rsidP="00F901E7">
      <w:r w:rsidRPr="00F901E7">
        <w:t>В законодателството</w:t>
      </w:r>
      <w:hyperlink r:id="rId7" w:anchor="sdfootnote2sym" w:history="1">
        <w:r w:rsidRPr="00F901E7">
          <w:rPr>
            <w:rStyle w:val="Hyperlink"/>
            <w:vertAlign w:val="superscript"/>
          </w:rPr>
          <w:t>2</w:t>
        </w:r>
      </w:hyperlink>
      <w:r w:rsidRPr="00F901E7">
        <w:t xml:space="preserve"> банката се определя като юридическо лице, което извършва публично привличане на влогове или други възстановими средства и предоставя кредити или друго финансиране за своя сметка и на собствен риск. Тя може да извършва и следните дейности, ако са включени в нейния лиценз:</w:t>
      </w:r>
    </w:p>
    <w:p w:rsidR="00F901E7" w:rsidRPr="00F901E7" w:rsidRDefault="00F901E7" w:rsidP="00F901E7">
      <w:r w:rsidRPr="00F901E7">
        <w:t>1. извършване на безналични преводи и други форми на безналични плащания като акредитив и инкасо;</w:t>
      </w:r>
    </w:p>
    <w:p w:rsidR="00F901E7" w:rsidRPr="00F901E7" w:rsidRDefault="00F901E7" w:rsidP="00F901E7">
      <w:r w:rsidRPr="00F901E7">
        <w:t>2. издаване и администриране на средства за плащане като електронни платежни инструменти, пътнически чекове;</w:t>
      </w:r>
    </w:p>
    <w:p w:rsidR="00F901E7" w:rsidRPr="00F901E7" w:rsidRDefault="00F901E7" w:rsidP="00F901E7">
      <w:r w:rsidRPr="00F901E7">
        <w:t>3. приемане на ценности на депозит;</w:t>
      </w:r>
    </w:p>
    <w:p w:rsidR="00F901E7" w:rsidRPr="00F901E7" w:rsidRDefault="00F901E7" w:rsidP="00F901E7">
      <w:r w:rsidRPr="00F901E7">
        <w:lastRenderedPageBreak/>
        <w:t>4. дейност като депозитарна или попечителска институция;</w:t>
      </w:r>
    </w:p>
    <w:p w:rsidR="00F901E7" w:rsidRPr="00F901E7" w:rsidRDefault="00F901E7" w:rsidP="00F901E7">
      <w:r w:rsidRPr="00F901E7">
        <w:t>5. извършване на парични преводи;</w:t>
      </w:r>
    </w:p>
    <w:p w:rsidR="00F901E7" w:rsidRPr="00F901E7" w:rsidRDefault="00F901E7" w:rsidP="00F901E7">
      <w:r w:rsidRPr="00F901E7">
        <w:t>6. финансов лизинг;</w:t>
      </w:r>
    </w:p>
    <w:p w:rsidR="00F901E7" w:rsidRPr="00F901E7" w:rsidRDefault="00F901E7" w:rsidP="00F901E7">
      <w:r w:rsidRPr="00F901E7">
        <w:t>7. гаранционни сделки;</w:t>
      </w:r>
    </w:p>
    <w:p w:rsidR="00F901E7" w:rsidRPr="00F901E7" w:rsidRDefault="00F901E7" w:rsidP="00F901E7">
      <w:r w:rsidRPr="00F901E7">
        <w:t>8. търгуване за собствена сметка или за сметка на клиенти със: а) инструменти на паричния пазар - чекове, менителници, депозитни сертификати и други; б) чуждестранна валута и благородни метали; в) финансови фючърси, опции, инструменти, свързани с валутни курсове и лихвени проценти, както и други дериватни инструменти;</w:t>
      </w:r>
    </w:p>
    <w:p w:rsidR="00F901E7" w:rsidRPr="00F901E7" w:rsidRDefault="00F901E7" w:rsidP="00F901E7">
      <w:r w:rsidRPr="00F901E7">
        <w:t>9. търгуване за собствена сметка или за сметка на клиенти с прехвърляеми ценни книжа, участие в емисии на ценни книжа;</w:t>
      </w:r>
    </w:p>
    <w:p w:rsidR="00F901E7" w:rsidRPr="00F901E7" w:rsidRDefault="00F901E7" w:rsidP="00F901E7">
      <w:r w:rsidRPr="00F901E7">
        <w:t>10. финансово брокерство;</w:t>
      </w:r>
    </w:p>
    <w:p w:rsidR="00F901E7" w:rsidRPr="00F901E7" w:rsidRDefault="00F901E7" w:rsidP="00F901E7">
      <w:r w:rsidRPr="00F901E7">
        <w:t>11. консултации относно портфейлни инвестиции;</w:t>
      </w:r>
    </w:p>
    <w:p w:rsidR="00F901E7" w:rsidRPr="00F901E7" w:rsidRDefault="00F901E7" w:rsidP="00F901E7">
      <w:r w:rsidRPr="00F901E7">
        <w:t>12. покупка на вземания, произтичащи от доставка на стоки или предоставяне на услуги, и поемане на риска от събирането на тези вземания (факторинг);</w:t>
      </w:r>
    </w:p>
    <w:p w:rsidR="00F901E7" w:rsidRPr="00F901E7" w:rsidRDefault="00F901E7" w:rsidP="00F901E7">
      <w:r w:rsidRPr="00F901E7">
        <w:t>13. придобиване и управление на дялови участия;</w:t>
      </w:r>
    </w:p>
    <w:p w:rsidR="00F901E7" w:rsidRPr="00F901E7" w:rsidRDefault="00F901E7" w:rsidP="00F901E7">
      <w:r w:rsidRPr="00F901E7">
        <w:t>14. отдаване под наем на сейфове;</w:t>
      </w:r>
    </w:p>
    <w:p w:rsidR="00F901E7" w:rsidRPr="00F901E7" w:rsidRDefault="00F901E7" w:rsidP="00F901E7">
      <w:r w:rsidRPr="00F901E7">
        <w:t>15. събиране, предоставяне на информация и референции относно кредитоспособността на клиенти;</w:t>
      </w:r>
    </w:p>
    <w:p w:rsidR="00F901E7" w:rsidRPr="00F901E7" w:rsidRDefault="00F901E7" w:rsidP="00F901E7">
      <w:hyperlink r:id="rId8" w:anchor="sdfootnote1anc" w:history="1">
        <w:r w:rsidRPr="00F901E7">
          <w:rPr>
            <w:rStyle w:val="Hyperlink"/>
          </w:rPr>
          <w:t>1</w:t>
        </w:r>
      </w:hyperlink>
      <w:r w:rsidRPr="00F901E7">
        <w:t xml:space="preserve"> Вж. по-подробно Михайлов, Ем. и др. </w:t>
      </w:r>
      <w:hyperlink r:id="rId9" w:tooltip="Въведение" w:history="1">
        <w:r w:rsidRPr="00F901E7">
          <w:rPr>
            <w:rStyle w:val="Hyperlink"/>
          </w:rPr>
          <w:t>Въведение</w:t>
        </w:r>
      </w:hyperlink>
      <w:r w:rsidRPr="00F901E7">
        <w:t xml:space="preserve"> в банковото дело, В. Търново, АБАГАР, 2005</w:t>
      </w:r>
    </w:p>
    <w:p w:rsidR="00F901E7" w:rsidRPr="00F901E7" w:rsidRDefault="00F901E7" w:rsidP="00F901E7">
      <w:hyperlink r:id="rId10" w:anchor="sdfootnote2anc" w:history="1">
        <w:r w:rsidRPr="00F901E7">
          <w:rPr>
            <w:rStyle w:val="Hyperlink"/>
          </w:rPr>
          <w:t>2</w:t>
        </w:r>
      </w:hyperlink>
      <w:r w:rsidRPr="00F901E7">
        <w:t xml:space="preserve"> Закон за кредитните институции (обн. ДВ бр. 59 от 2006)</w:t>
      </w:r>
    </w:p>
    <w:p w:rsidR="00C33B71" w:rsidRPr="00F901E7" w:rsidRDefault="00C33B71" w:rsidP="00F901E7">
      <w:bookmarkStart w:id="0" w:name="_GoBack"/>
      <w:bookmarkEnd w:id="0"/>
    </w:p>
    <w:sectPr w:rsidR="00C33B71" w:rsidRPr="00F901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A41"/>
    <w:rsid w:val="0007703F"/>
    <w:rsid w:val="00116712"/>
    <w:rsid w:val="00185232"/>
    <w:rsid w:val="00192B1F"/>
    <w:rsid w:val="001E65E8"/>
    <w:rsid w:val="002A6171"/>
    <w:rsid w:val="00353A41"/>
    <w:rsid w:val="00566CEC"/>
    <w:rsid w:val="005B30C7"/>
    <w:rsid w:val="006562BD"/>
    <w:rsid w:val="006955A5"/>
    <w:rsid w:val="006D0E1B"/>
    <w:rsid w:val="00856BD2"/>
    <w:rsid w:val="008B6621"/>
    <w:rsid w:val="00913BA1"/>
    <w:rsid w:val="0096054B"/>
    <w:rsid w:val="009D756E"/>
    <w:rsid w:val="00A70D3F"/>
    <w:rsid w:val="00A85923"/>
    <w:rsid w:val="00C02AA8"/>
    <w:rsid w:val="00C3341C"/>
    <w:rsid w:val="00C33B71"/>
    <w:rsid w:val="00C43ED6"/>
    <w:rsid w:val="00CC4337"/>
    <w:rsid w:val="00D247C7"/>
    <w:rsid w:val="00D3218F"/>
    <w:rsid w:val="00D34574"/>
    <w:rsid w:val="00D36C89"/>
    <w:rsid w:val="00E33AC7"/>
    <w:rsid w:val="00E5592D"/>
    <w:rsid w:val="00F003BE"/>
    <w:rsid w:val="00F516E2"/>
    <w:rsid w:val="00F901E7"/>
    <w:rsid w:val="00FB331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CB503F-6A40-4E68-BA4D-B72E461ED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13BA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3BA1"/>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913BA1"/>
    <w:rPr>
      <w:i/>
      <w:iCs/>
    </w:rPr>
  </w:style>
  <w:style w:type="paragraph" w:styleId="NoSpacing">
    <w:name w:val="No Spacing"/>
    <w:uiPriority w:val="1"/>
    <w:qFormat/>
    <w:rsid w:val="00913BA1"/>
    <w:pPr>
      <w:spacing w:after="0" w:line="240" w:lineRule="auto"/>
    </w:pPr>
  </w:style>
  <w:style w:type="character" w:styleId="Hyperlink">
    <w:name w:val="Hyperlink"/>
    <w:basedOn w:val="DefaultParagraphFont"/>
    <w:uiPriority w:val="99"/>
    <w:unhideWhenUsed/>
    <w:rsid w:val="00FB331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67908">
      <w:bodyDiv w:val="1"/>
      <w:marLeft w:val="0"/>
      <w:marRight w:val="0"/>
      <w:marTop w:val="0"/>
      <w:marBottom w:val="0"/>
      <w:divBdr>
        <w:top w:val="none" w:sz="0" w:space="0" w:color="auto"/>
        <w:left w:val="none" w:sz="0" w:space="0" w:color="auto"/>
        <w:bottom w:val="none" w:sz="0" w:space="0" w:color="auto"/>
        <w:right w:val="none" w:sz="0" w:space="0" w:color="auto"/>
      </w:divBdr>
      <w:divsChild>
        <w:div w:id="798033377">
          <w:marLeft w:val="0"/>
          <w:marRight w:val="0"/>
          <w:marTop w:val="0"/>
          <w:marBottom w:val="0"/>
          <w:divBdr>
            <w:top w:val="none" w:sz="0" w:space="0" w:color="auto"/>
            <w:left w:val="none" w:sz="0" w:space="0" w:color="auto"/>
            <w:bottom w:val="none" w:sz="0" w:space="0" w:color="auto"/>
            <w:right w:val="none" w:sz="0" w:space="0" w:color="auto"/>
          </w:divBdr>
          <w:divsChild>
            <w:div w:id="109571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18656">
      <w:bodyDiv w:val="1"/>
      <w:marLeft w:val="0"/>
      <w:marRight w:val="0"/>
      <w:marTop w:val="0"/>
      <w:marBottom w:val="0"/>
      <w:divBdr>
        <w:top w:val="none" w:sz="0" w:space="0" w:color="auto"/>
        <w:left w:val="none" w:sz="0" w:space="0" w:color="auto"/>
        <w:bottom w:val="none" w:sz="0" w:space="0" w:color="auto"/>
        <w:right w:val="none" w:sz="0" w:space="0" w:color="auto"/>
      </w:divBdr>
      <w:divsChild>
        <w:div w:id="1238248081">
          <w:marLeft w:val="0"/>
          <w:marRight w:val="0"/>
          <w:marTop w:val="0"/>
          <w:marBottom w:val="0"/>
          <w:divBdr>
            <w:top w:val="none" w:sz="0" w:space="0" w:color="auto"/>
            <w:left w:val="none" w:sz="0" w:space="0" w:color="auto"/>
            <w:bottom w:val="none" w:sz="0" w:space="0" w:color="auto"/>
            <w:right w:val="none" w:sz="0" w:space="0" w:color="auto"/>
          </w:divBdr>
          <w:divsChild>
            <w:div w:id="97468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81599">
      <w:bodyDiv w:val="1"/>
      <w:marLeft w:val="0"/>
      <w:marRight w:val="0"/>
      <w:marTop w:val="0"/>
      <w:marBottom w:val="0"/>
      <w:divBdr>
        <w:top w:val="none" w:sz="0" w:space="0" w:color="auto"/>
        <w:left w:val="none" w:sz="0" w:space="0" w:color="auto"/>
        <w:bottom w:val="none" w:sz="0" w:space="0" w:color="auto"/>
        <w:right w:val="none" w:sz="0" w:space="0" w:color="auto"/>
      </w:divBdr>
    </w:div>
    <w:div w:id="170023322">
      <w:bodyDiv w:val="1"/>
      <w:marLeft w:val="0"/>
      <w:marRight w:val="0"/>
      <w:marTop w:val="0"/>
      <w:marBottom w:val="0"/>
      <w:divBdr>
        <w:top w:val="none" w:sz="0" w:space="0" w:color="auto"/>
        <w:left w:val="none" w:sz="0" w:space="0" w:color="auto"/>
        <w:bottom w:val="none" w:sz="0" w:space="0" w:color="auto"/>
        <w:right w:val="none" w:sz="0" w:space="0" w:color="auto"/>
      </w:divBdr>
    </w:div>
    <w:div w:id="242565673">
      <w:bodyDiv w:val="1"/>
      <w:marLeft w:val="0"/>
      <w:marRight w:val="0"/>
      <w:marTop w:val="0"/>
      <w:marBottom w:val="0"/>
      <w:divBdr>
        <w:top w:val="none" w:sz="0" w:space="0" w:color="auto"/>
        <w:left w:val="none" w:sz="0" w:space="0" w:color="auto"/>
        <w:bottom w:val="none" w:sz="0" w:space="0" w:color="auto"/>
        <w:right w:val="none" w:sz="0" w:space="0" w:color="auto"/>
      </w:divBdr>
    </w:div>
    <w:div w:id="280959732">
      <w:bodyDiv w:val="1"/>
      <w:marLeft w:val="0"/>
      <w:marRight w:val="0"/>
      <w:marTop w:val="0"/>
      <w:marBottom w:val="0"/>
      <w:divBdr>
        <w:top w:val="none" w:sz="0" w:space="0" w:color="auto"/>
        <w:left w:val="none" w:sz="0" w:space="0" w:color="auto"/>
        <w:bottom w:val="none" w:sz="0" w:space="0" w:color="auto"/>
        <w:right w:val="none" w:sz="0" w:space="0" w:color="auto"/>
      </w:divBdr>
    </w:div>
    <w:div w:id="353847377">
      <w:bodyDiv w:val="1"/>
      <w:marLeft w:val="0"/>
      <w:marRight w:val="0"/>
      <w:marTop w:val="0"/>
      <w:marBottom w:val="0"/>
      <w:divBdr>
        <w:top w:val="none" w:sz="0" w:space="0" w:color="auto"/>
        <w:left w:val="none" w:sz="0" w:space="0" w:color="auto"/>
        <w:bottom w:val="none" w:sz="0" w:space="0" w:color="auto"/>
        <w:right w:val="none" w:sz="0" w:space="0" w:color="auto"/>
      </w:divBdr>
    </w:div>
    <w:div w:id="361711555">
      <w:bodyDiv w:val="1"/>
      <w:marLeft w:val="0"/>
      <w:marRight w:val="0"/>
      <w:marTop w:val="0"/>
      <w:marBottom w:val="0"/>
      <w:divBdr>
        <w:top w:val="none" w:sz="0" w:space="0" w:color="auto"/>
        <w:left w:val="none" w:sz="0" w:space="0" w:color="auto"/>
        <w:bottom w:val="none" w:sz="0" w:space="0" w:color="auto"/>
        <w:right w:val="none" w:sz="0" w:space="0" w:color="auto"/>
      </w:divBdr>
    </w:div>
    <w:div w:id="382293196">
      <w:bodyDiv w:val="1"/>
      <w:marLeft w:val="0"/>
      <w:marRight w:val="0"/>
      <w:marTop w:val="0"/>
      <w:marBottom w:val="0"/>
      <w:divBdr>
        <w:top w:val="none" w:sz="0" w:space="0" w:color="auto"/>
        <w:left w:val="none" w:sz="0" w:space="0" w:color="auto"/>
        <w:bottom w:val="none" w:sz="0" w:space="0" w:color="auto"/>
        <w:right w:val="none" w:sz="0" w:space="0" w:color="auto"/>
      </w:divBdr>
    </w:div>
    <w:div w:id="444274011">
      <w:bodyDiv w:val="1"/>
      <w:marLeft w:val="0"/>
      <w:marRight w:val="0"/>
      <w:marTop w:val="0"/>
      <w:marBottom w:val="0"/>
      <w:divBdr>
        <w:top w:val="none" w:sz="0" w:space="0" w:color="auto"/>
        <w:left w:val="none" w:sz="0" w:space="0" w:color="auto"/>
        <w:bottom w:val="none" w:sz="0" w:space="0" w:color="auto"/>
        <w:right w:val="none" w:sz="0" w:space="0" w:color="auto"/>
      </w:divBdr>
      <w:divsChild>
        <w:div w:id="1694334455">
          <w:marLeft w:val="0"/>
          <w:marRight w:val="0"/>
          <w:marTop w:val="0"/>
          <w:marBottom w:val="0"/>
          <w:divBdr>
            <w:top w:val="none" w:sz="0" w:space="0" w:color="auto"/>
            <w:left w:val="none" w:sz="0" w:space="0" w:color="auto"/>
            <w:bottom w:val="none" w:sz="0" w:space="0" w:color="auto"/>
            <w:right w:val="none" w:sz="0" w:space="0" w:color="auto"/>
          </w:divBdr>
          <w:divsChild>
            <w:div w:id="90434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40549">
      <w:bodyDiv w:val="1"/>
      <w:marLeft w:val="0"/>
      <w:marRight w:val="0"/>
      <w:marTop w:val="0"/>
      <w:marBottom w:val="0"/>
      <w:divBdr>
        <w:top w:val="none" w:sz="0" w:space="0" w:color="auto"/>
        <w:left w:val="none" w:sz="0" w:space="0" w:color="auto"/>
        <w:bottom w:val="none" w:sz="0" w:space="0" w:color="auto"/>
        <w:right w:val="none" w:sz="0" w:space="0" w:color="auto"/>
      </w:divBdr>
    </w:div>
    <w:div w:id="733436095">
      <w:bodyDiv w:val="1"/>
      <w:marLeft w:val="0"/>
      <w:marRight w:val="0"/>
      <w:marTop w:val="0"/>
      <w:marBottom w:val="0"/>
      <w:divBdr>
        <w:top w:val="none" w:sz="0" w:space="0" w:color="auto"/>
        <w:left w:val="none" w:sz="0" w:space="0" w:color="auto"/>
        <w:bottom w:val="none" w:sz="0" w:space="0" w:color="auto"/>
        <w:right w:val="none" w:sz="0" w:space="0" w:color="auto"/>
      </w:divBdr>
      <w:divsChild>
        <w:div w:id="123892278">
          <w:marLeft w:val="0"/>
          <w:marRight w:val="0"/>
          <w:marTop w:val="0"/>
          <w:marBottom w:val="0"/>
          <w:divBdr>
            <w:top w:val="none" w:sz="0" w:space="0" w:color="auto"/>
            <w:left w:val="none" w:sz="0" w:space="0" w:color="auto"/>
            <w:bottom w:val="none" w:sz="0" w:space="0" w:color="auto"/>
            <w:right w:val="none" w:sz="0" w:space="0" w:color="auto"/>
          </w:divBdr>
          <w:divsChild>
            <w:div w:id="69280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950925">
      <w:bodyDiv w:val="1"/>
      <w:marLeft w:val="0"/>
      <w:marRight w:val="0"/>
      <w:marTop w:val="0"/>
      <w:marBottom w:val="0"/>
      <w:divBdr>
        <w:top w:val="none" w:sz="0" w:space="0" w:color="auto"/>
        <w:left w:val="none" w:sz="0" w:space="0" w:color="auto"/>
        <w:bottom w:val="none" w:sz="0" w:space="0" w:color="auto"/>
        <w:right w:val="none" w:sz="0" w:space="0" w:color="auto"/>
      </w:divBdr>
      <w:divsChild>
        <w:div w:id="1708407887">
          <w:marLeft w:val="0"/>
          <w:marRight w:val="0"/>
          <w:marTop w:val="0"/>
          <w:marBottom w:val="0"/>
          <w:divBdr>
            <w:top w:val="none" w:sz="0" w:space="0" w:color="auto"/>
            <w:left w:val="none" w:sz="0" w:space="0" w:color="auto"/>
            <w:bottom w:val="none" w:sz="0" w:space="0" w:color="auto"/>
            <w:right w:val="none" w:sz="0" w:space="0" w:color="auto"/>
          </w:divBdr>
          <w:divsChild>
            <w:div w:id="179097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15707">
      <w:bodyDiv w:val="1"/>
      <w:marLeft w:val="0"/>
      <w:marRight w:val="0"/>
      <w:marTop w:val="0"/>
      <w:marBottom w:val="0"/>
      <w:divBdr>
        <w:top w:val="none" w:sz="0" w:space="0" w:color="auto"/>
        <w:left w:val="none" w:sz="0" w:space="0" w:color="auto"/>
        <w:bottom w:val="none" w:sz="0" w:space="0" w:color="auto"/>
        <w:right w:val="none" w:sz="0" w:space="0" w:color="auto"/>
      </w:divBdr>
      <w:divsChild>
        <w:div w:id="178082830">
          <w:marLeft w:val="0"/>
          <w:marRight w:val="0"/>
          <w:marTop w:val="0"/>
          <w:marBottom w:val="0"/>
          <w:divBdr>
            <w:top w:val="none" w:sz="0" w:space="0" w:color="auto"/>
            <w:left w:val="none" w:sz="0" w:space="0" w:color="auto"/>
            <w:bottom w:val="none" w:sz="0" w:space="0" w:color="auto"/>
            <w:right w:val="none" w:sz="0" w:space="0" w:color="auto"/>
          </w:divBdr>
          <w:divsChild>
            <w:div w:id="27337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971675">
      <w:bodyDiv w:val="1"/>
      <w:marLeft w:val="0"/>
      <w:marRight w:val="0"/>
      <w:marTop w:val="0"/>
      <w:marBottom w:val="0"/>
      <w:divBdr>
        <w:top w:val="none" w:sz="0" w:space="0" w:color="auto"/>
        <w:left w:val="none" w:sz="0" w:space="0" w:color="auto"/>
        <w:bottom w:val="none" w:sz="0" w:space="0" w:color="auto"/>
        <w:right w:val="none" w:sz="0" w:space="0" w:color="auto"/>
      </w:divBdr>
      <w:divsChild>
        <w:div w:id="1183857776">
          <w:marLeft w:val="0"/>
          <w:marRight w:val="0"/>
          <w:marTop w:val="0"/>
          <w:marBottom w:val="0"/>
          <w:divBdr>
            <w:top w:val="none" w:sz="0" w:space="0" w:color="auto"/>
            <w:left w:val="none" w:sz="0" w:space="0" w:color="auto"/>
            <w:bottom w:val="none" w:sz="0" w:space="0" w:color="auto"/>
            <w:right w:val="none" w:sz="0" w:space="0" w:color="auto"/>
          </w:divBdr>
          <w:divsChild>
            <w:div w:id="44585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729882">
      <w:bodyDiv w:val="1"/>
      <w:marLeft w:val="0"/>
      <w:marRight w:val="0"/>
      <w:marTop w:val="0"/>
      <w:marBottom w:val="0"/>
      <w:divBdr>
        <w:top w:val="none" w:sz="0" w:space="0" w:color="auto"/>
        <w:left w:val="none" w:sz="0" w:space="0" w:color="auto"/>
        <w:bottom w:val="none" w:sz="0" w:space="0" w:color="auto"/>
        <w:right w:val="none" w:sz="0" w:space="0" w:color="auto"/>
      </w:divBdr>
      <w:divsChild>
        <w:div w:id="494732927">
          <w:marLeft w:val="0"/>
          <w:marRight w:val="0"/>
          <w:marTop w:val="0"/>
          <w:marBottom w:val="0"/>
          <w:divBdr>
            <w:top w:val="none" w:sz="0" w:space="0" w:color="auto"/>
            <w:left w:val="none" w:sz="0" w:space="0" w:color="auto"/>
            <w:bottom w:val="none" w:sz="0" w:space="0" w:color="auto"/>
            <w:right w:val="none" w:sz="0" w:space="0" w:color="auto"/>
          </w:divBdr>
          <w:divsChild>
            <w:div w:id="118358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00540">
      <w:bodyDiv w:val="1"/>
      <w:marLeft w:val="0"/>
      <w:marRight w:val="0"/>
      <w:marTop w:val="0"/>
      <w:marBottom w:val="0"/>
      <w:divBdr>
        <w:top w:val="none" w:sz="0" w:space="0" w:color="auto"/>
        <w:left w:val="none" w:sz="0" w:space="0" w:color="auto"/>
        <w:bottom w:val="none" w:sz="0" w:space="0" w:color="auto"/>
        <w:right w:val="none" w:sz="0" w:space="0" w:color="auto"/>
      </w:divBdr>
    </w:div>
    <w:div w:id="1166823491">
      <w:bodyDiv w:val="1"/>
      <w:marLeft w:val="0"/>
      <w:marRight w:val="0"/>
      <w:marTop w:val="0"/>
      <w:marBottom w:val="0"/>
      <w:divBdr>
        <w:top w:val="none" w:sz="0" w:space="0" w:color="auto"/>
        <w:left w:val="none" w:sz="0" w:space="0" w:color="auto"/>
        <w:bottom w:val="none" w:sz="0" w:space="0" w:color="auto"/>
        <w:right w:val="none" w:sz="0" w:space="0" w:color="auto"/>
      </w:divBdr>
      <w:divsChild>
        <w:div w:id="763455888">
          <w:marLeft w:val="0"/>
          <w:marRight w:val="0"/>
          <w:marTop w:val="0"/>
          <w:marBottom w:val="0"/>
          <w:divBdr>
            <w:top w:val="none" w:sz="0" w:space="0" w:color="auto"/>
            <w:left w:val="none" w:sz="0" w:space="0" w:color="auto"/>
            <w:bottom w:val="none" w:sz="0" w:space="0" w:color="auto"/>
            <w:right w:val="none" w:sz="0" w:space="0" w:color="auto"/>
          </w:divBdr>
          <w:divsChild>
            <w:div w:id="656496490">
              <w:marLeft w:val="0"/>
              <w:marRight w:val="0"/>
              <w:marTop w:val="0"/>
              <w:marBottom w:val="0"/>
              <w:divBdr>
                <w:top w:val="none" w:sz="0" w:space="0" w:color="auto"/>
                <w:left w:val="none" w:sz="0" w:space="0" w:color="auto"/>
                <w:bottom w:val="none" w:sz="0" w:space="0" w:color="auto"/>
                <w:right w:val="none" w:sz="0" w:space="0" w:color="auto"/>
              </w:divBdr>
            </w:div>
          </w:divsChild>
        </w:div>
        <w:div w:id="1323389846">
          <w:marLeft w:val="0"/>
          <w:marRight w:val="0"/>
          <w:marTop w:val="0"/>
          <w:marBottom w:val="0"/>
          <w:divBdr>
            <w:top w:val="none" w:sz="0" w:space="0" w:color="auto"/>
            <w:left w:val="none" w:sz="0" w:space="0" w:color="auto"/>
            <w:bottom w:val="none" w:sz="0" w:space="0" w:color="auto"/>
            <w:right w:val="none" w:sz="0" w:space="0" w:color="auto"/>
          </w:divBdr>
        </w:div>
      </w:divsChild>
    </w:div>
    <w:div w:id="1173029015">
      <w:bodyDiv w:val="1"/>
      <w:marLeft w:val="0"/>
      <w:marRight w:val="0"/>
      <w:marTop w:val="0"/>
      <w:marBottom w:val="0"/>
      <w:divBdr>
        <w:top w:val="none" w:sz="0" w:space="0" w:color="auto"/>
        <w:left w:val="none" w:sz="0" w:space="0" w:color="auto"/>
        <w:bottom w:val="none" w:sz="0" w:space="0" w:color="auto"/>
        <w:right w:val="none" w:sz="0" w:space="0" w:color="auto"/>
      </w:divBdr>
      <w:divsChild>
        <w:div w:id="2072078161">
          <w:marLeft w:val="0"/>
          <w:marRight w:val="0"/>
          <w:marTop w:val="0"/>
          <w:marBottom w:val="0"/>
          <w:divBdr>
            <w:top w:val="none" w:sz="0" w:space="0" w:color="auto"/>
            <w:left w:val="none" w:sz="0" w:space="0" w:color="auto"/>
            <w:bottom w:val="none" w:sz="0" w:space="0" w:color="auto"/>
            <w:right w:val="none" w:sz="0" w:space="0" w:color="auto"/>
          </w:divBdr>
          <w:divsChild>
            <w:div w:id="153252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313920">
      <w:bodyDiv w:val="1"/>
      <w:marLeft w:val="0"/>
      <w:marRight w:val="0"/>
      <w:marTop w:val="0"/>
      <w:marBottom w:val="0"/>
      <w:divBdr>
        <w:top w:val="none" w:sz="0" w:space="0" w:color="auto"/>
        <w:left w:val="none" w:sz="0" w:space="0" w:color="auto"/>
        <w:bottom w:val="none" w:sz="0" w:space="0" w:color="auto"/>
        <w:right w:val="none" w:sz="0" w:space="0" w:color="auto"/>
      </w:divBdr>
      <w:divsChild>
        <w:div w:id="1527981397">
          <w:marLeft w:val="0"/>
          <w:marRight w:val="0"/>
          <w:marTop w:val="0"/>
          <w:marBottom w:val="0"/>
          <w:divBdr>
            <w:top w:val="none" w:sz="0" w:space="0" w:color="auto"/>
            <w:left w:val="none" w:sz="0" w:space="0" w:color="auto"/>
            <w:bottom w:val="none" w:sz="0" w:space="0" w:color="auto"/>
            <w:right w:val="none" w:sz="0" w:space="0" w:color="auto"/>
          </w:divBdr>
          <w:divsChild>
            <w:div w:id="173566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948771">
      <w:bodyDiv w:val="1"/>
      <w:marLeft w:val="0"/>
      <w:marRight w:val="0"/>
      <w:marTop w:val="0"/>
      <w:marBottom w:val="0"/>
      <w:divBdr>
        <w:top w:val="none" w:sz="0" w:space="0" w:color="auto"/>
        <w:left w:val="none" w:sz="0" w:space="0" w:color="auto"/>
        <w:bottom w:val="none" w:sz="0" w:space="0" w:color="auto"/>
        <w:right w:val="none" w:sz="0" w:space="0" w:color="auto"/>
      </w:divBdr>
    </w:div>
    <w:div w:id="1387534134">
      <w:bodyDiv w:val="1"/>
      <w:marLeft w:val="0"/>
      <w:marRight w:val="0"/>
      <w:marTop w:val="0"/>
      <w:marBottom w:val="0"/>
      <w:divBdr>
        <w:top w:val="none" w:sz="0" w:space="0" w:color="auto"/>
        <w:left w:val="none" w:sz="0" w:space="0" w:color="auto"/>
        <w:bottom w:val="none" w:sz="0" w:space="0" w:color="auto"/>
        <w:right w:val="none" w:sz="0" w:space="0" w:color="auto"/>
      </w:divBdr>
    </w:div>
    <w:div w:id="1413968821">
      <w:bodyDiv w:val="1"/>
      <w:marLeft w:val="0"/>
      <w:marRight w:val="0"/>
      <w:marTop w:val="0"/>
      <w:marBottom w:val="0"/>
      <w:divBdr>
        <w:top w:val="none" w:sz="0" w:space="0" w:color="auto"/>
        <w:left w:val="none" w:sz="0" w:space="0" w:color="auto"/>
        <w:bottom w:val="none" w:sz="0" w:space="0" w:color="auto"/>
        <w:right w:val="none" w:sz="0" w:space="0" w:color="auto"/>
      </w:divBdr>
      <w:divsChild>
        <w:div w:id="1512184599">
          <w:marLeft w:val="0"/>
          <w:marRight w:val="0"/>
          <w:marTop w:val="0"/>
          <w:marBottom w:val="0"/>
          <w:divBdr>
            <w:top w:val="none" w:sz="0" w:space="0" w:color="auto"/>
            <w:left w:val="none" w:sz="0" w:space="0" w:color="auto"/>
            <w:bottom w:val="none" w:sz="0" w:space="0" w:color="auto"/>
            <w:right w:val="none" w:sz="0" w:space="0" w:color="auto"/>
          </w:divBdr>
          <w:divsChild>
            <w:div w:id="76160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45921">
      <w:bodyDiv w:val="1"/>
      <w:marLeft w:val="0"/>
      <w:marRight w:val="0"/>
      <w:marTop w:val="0"/>
      <w:marBottom w:val="0"/>
      <w:divBdr>
        <w:top w:val="none" w:sz="0" w:space="0" w:color="auto"/>
        <w:left w:val="none" w:sz="0" w:space="0" w:color="auto"/>
        <w:bottom w:val="none" w:sz="0" w:space="0" w:color="auto"/>
        <w:right w:val="none" w:sz="0" w:space="0" w:color="auto"/>
      </w:divBdr>
    </w:div>
    <w:div w:id="1422947541">
      <w:bodyDiv w:val="1"/>
      <w:marLeft w:val="0"/>
      <w:marRight w:val="0"/>
      <w:marTop w:val="0"/>
      <w:marBottom w:val="0"/>
      <w:divBdr>
        <w:top w:val="none" w:sz="0" w:space="0" w:color="auto"/>
        <w:left w:val="none" w:sz="0" w:space="0" w:color="auto"/>
        <w:bottom w:val="none" w:sz="0" w:space="0" w:color="auto"/>
        <w:right w:val="none" w:sz="0" w:space="0" w:color="auto"/>
      </w:divBdr>
      <w:divsChild>
        <w:div w:id="1059673390">
          <w:marLeft w:val="0"/>
          <w:marRight w:val="0"/>
          <w:marTop w:val="0"/>
          <w:marBottom w:val="0"/>
          <w:divBdr>
            <w:top w:val="none" w:sz="0" w:space="0" w:color="auto"/>
            <w:left w:val="none" w:sz="0" w:space="0" w:color="auto"/>
            <w:bottom w:val="none" w:sz="0" w:space="0" w:color="auto"/>
            <w:right w:val="none" w:sz="0" w:space="0" w:color="auto"/>
          </w:divBdr>
          <w:divsChild>
            <w:div w:id="102459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684049">
      <w:bodyDiv w:val="1"/>
      <w:marLeft w:val="0"/>
      <w:marRight w:val="0"/>
      <w:marTop w:val="0"/>
      <w:marBottom w:val="0"/>
      <w:divBdr>
        <w:top w:val="none" w:sz="0" w:space="0" w:color="auto"/>
        <w:left w:val="none" w:sz="0" w:space="0" w:color="auto"/>
        <w:bottom w:val="none" w:sz="0" w:space="0" w:color="auto"/>
        <w:right w:val="none" w:sz="0" w:space="0" w:color="auto"/>
      </w:divBdr>
      <w:divsChild>
        <w:div w:id="616184121">
          <w:marLeft w:val="0"/>
          <w:marRight w:val="0"/>
          <w:marTop w:val="0"/>
          <w:marBottom w:val="0"/>
          <w:divBdr>
            <w:top w:val="none" w:sz="0" w:space="0" w:color="auto"/>
            <w:left w:val="none" w:sz="0" w:space="0" w:color="auto"/>
            <w:bottom w:val="none" w:sz="0" w:space="0" w:color="auto"/>
            <w:right w:val="none" w:sz="0" w:space="0" w:color="auto"/>
          </w:divBdr>
          <w:divsChild>
            <w:div w:id="102918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427460">
      <w:bodyDiv w:val="1"/>
      <w:marLeft w:val="0"/>
      <w:marRight w:val="0"/>
      <w:marTop w:val="0"/>
      <w:marBottom w:val="0"/>
      <w:divBdr>
        <w:top w:val="none" w:sz="0" w:space="0" w:color="auto"/>
        <w:left w:val="none" w:sz="0" w:space="0" w:color="auto"/>
        <w:bottom w:val="none" w:sz="0" w:space="0" w:color="auto"/>
        <w:right w:val="none" w:sz="0" w:space="0" w:color="auto"/>
      </w:divBdr>
      <w:divsChild>
        <w:div w:id="965502138">
          <w:marLeft w:val="0"/>
          <w:marRight w:val="0"/>
          <w:marTop w:val="0"/>
          <w:marBottom w:val="0"/>
          <w:divBdr>
            <w:top w:val="none" w:sz="0" w:space="0" w:color="auto"/>
            <w:left w:val="none" w:sz="0" w:space="0" w:color="auto"/>
            <w:bottom w:val="none" w:sz="0" w:space="0" w:color="auto"/>
            <w:right w:val="none" w:sz="0" w:space="0" w:color="auto"/>
          </w:divBdr>
          <w:divsChild>
            <w:div w:id="69214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368108">
      <w:bodyDiv w:val="1"/>
      <w:marLeft w:val="0"/>
      <w:marRight w:val="0"/>
      <w:marTop w:val="0"/>
      <w:marBottom w:val="0"/>
      <w:divBdr>
        <w:top w:val="none" w:sz="0" w:space="0" w:color="auto"/>
        <w:left w:val="none" w:sz="0" w:space="0" w:color="auto"/>
        <w:bottom w:val="none" w:sz="0" w:space="0" w:color="auto"/>
        <w:right w:val="none" w:sz="0" w:space="0" w:color="auto"/>
      </w:divBdr>
      <w:divsChild>
        <w:div w:id="549073922">
          <w:marLeft w:val="0"/>
          <w:marRight w:val="0"/>
          <w:marTop w:val="0"/>
          <w:marBottom w:val="0"/>
          <w:divBdr>
            <w:top w:val="none" w:sz="0" w:space="0" w:color="auto"/>
            <w:left w:val="none" w:sz="0" w:space="0" w:color="auto"/>
            <w:bottom w:val="none" w:sz="0" w:space="0" w:color="auto"/>
            <w:right w:val="none" w:sz="0" w:space="0" w:color="auto"/>
          </w:divBdr>
          <w:divsChild>
            <w:div w:id="41787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597733">
      <w:bodyDiv w:val="1"/>
      <w:marLeft w:val="0"/>
      <w:marRight w:val="0"/>
      <w:marTop w:val="0"/>
      <w:marBottom w:val="0"/>
      <w:divBdr>
        <w:top w:val="none" w:sz="0" w:space="0" w:color="auto"/>
        <w:left w:val="none" w:sz="0" w:space="0" w:color="auto"/>
        <w:bottom w:val="none" w:sz="0" w:space="0" w:color="auto"/>
        <w:right w:val="none" w:sz="0" w:space="0" w:color="auto"/>
      </w:divBdr>
      <w:divsChild>
        <w:div w:id="940913003">
          <w:marLeft w:val="0"/>
          <w:marRight w:val="0"/>
          <w:marTop w:val="0"/>
          <w:marBottom w:val="0"/>
          <w:divBdr>
            <w:top w:val="none" w:sz="0" w:space="0" w:color="auto"/>
            <w:left w:val="none" w:sz="0" w:space="0" w:color="auto"/>
            <w:bottom w:val="none" w:sz="0" w:space="0" w:color="auto"/>
            <w:right w:val="none" w:sz="0" w:space="0" w:color="auto"/>
          </w:divBdr>
          <w:divsChild>
            <w:div w:id="87492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861820">
      <w:bodyDiv w:val="1"/>
      <w:marLeft w:val="0"/>
      <w:marRight w:val="0"/>
      <w:marTop w:val="0"/>
      <w:marBottom w:val="0"/>
      <w:divBdr>
        <w:top w:val="none" w:sz="0" w:space="0" w:color="auto"/>
        <w:left w:val="none" w:sz="0" w:space="0" w:color="auto"/>
        <w:bottom w:val="none" w:sz="0" w:space="0" w:color="auto"/>
        <w:right w:val="none" w:sz="0" w:space="0" w:color="auto"/>
      </w:divBdr>
    </w:div>
    <w:div w:id="1595434563">
      <w:bodyDiv w:val="1"/>
      <w:marLeft w:val="0"/>
      <w:marRight w:val="0"/>
      <w:marTop w:val="0"/>
      <w:marBottom w:val="0"/>
      <w:divBdr>
        <w:top w:val="none" w:sz="0" w:space="0" w:color="auto"/>
        <w:left w:val="none" w:sz="0" w:space="0" w:color="auto"/>
        <w:bottom w:val="none" w:sz="0" w:space="0" w:color="auto"/>
        <w:right w:val="none" w:sz="0" w:space="0" w:color="auto"/>
      </w:divBdr>
      <w:divsChild>
        <w:div w:id="2017461004">
          <w:marLeft w:val="0"/>
          <w:marRight w:val="0"/>
          <w:marTop w:val="0"/>
          <w:marBottom w:val="0"/>
          <w:divBdr>
            <w:top w:val="none" w:sz="0" w:space="0" w:color="auto"/>
            <w:left w:val="none" w:sz="0" w:space="0" w:color="auto"/>
            <w:bottom w:val="none" w:sz="0" w:space="0" w:color="auto"/>
            <w:right w:val="none" w:sz="0" w:space="0" w:color="auto"/>
          </w:divBdr>
          <w:divsChild>
            <w:div w:id="137392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286900">
      <w:bodyDiv w:val="1"/>
      <w:marLeft w:val="0"/>
      <w:marRight w:val="0"/>
      <w:marTop w:val="0"/>
      <w:marBottom w:val="0"/>
      <w:divBdr>
        <w:top w:val="none" w:sz="0" w:space="0" w:color="auto"/>
        <w:left w:val="none" w:sz="0" w:space="0" w:color="auto"/>
        <w:bottom w:val="none" w:sz="0" w:space="0" w:color="auto"/>
        <w:right w:val="none" w:sz="0" w:space="0" w:color="auto"/>
      </w:divBdr>
      <w:divsChild>
        <w:div w:id="363991310">
          <w:marLeft w:val="0"/>
          <w:marRight w:val="0"/>
          <w:marTop w:val="0"/>
          <w:marBottom w:val="0"/>
          <w:divBdr>
            <w:top w:val="none" w:sz="0" w:space="0" w:color="auto"/>
            <w:left w:val="none" w:sz="0" w:space="0" w:color="auto"/>
            <w:bottom w:val="none" w:sz="0" w:space="0" w:color="auto"/>
            <w:right w:val="none" w:sz="0" w:space="0" w:color="auto"/>
          </w:divBdr>
          <w:divsChild>
            <w:div w:id="164712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170278">
      <w:bodyDiv w:val="1"/>
      <w:marLeft w:val="0"/>
      <w:marRight w:val="0"/>
      <w:marTop w:val="0"/>
      <w:marBottom w:val="0"/>
      <w:divBdr>
        <w:top w:val="none" w:sz="0" w:space="0" w:color="auto"/>
        <w:left w:val="none" w:sz="0" w:space="0" w:color="auto"/>
        <w:bottom w:val="none" w:sz="0" w:space="0" w:color="auto"/>
        <w:right w:val="none" w:sz="0" w:space="0" w:color="auto"/>
      </w:divBdr>
    </w:div>
    <w:div w:id="1766220384">
      <w:bodyDiv w:val="1"/>
      <w:marLeft w:val="0"/>
      <w:marRight w:val="0"/>
      <w:marTop w:val="0"/>
      <w:marBottom w:val="0"/>
      <w:divBdr>
        <w:top w:val="none" w:sz="0" w:space="0" w:color="auto"/>
        <w:left w:val="none" w:sz="0" w:space="0" w:color="auto"/>
        <w:bottom w:val="none" w:sz="0" w:space="0" w:color="auto"/>
        <w:right w:val="none" w:sz="0" w:space="0" w:color="auto"/>
      </w:divBdr>
    </w:div>
    <w:div w:id="1835677976">
      <w:bodyDiv w:val="1"/>
      <w:marLeft w:val="0"/>
      <w:marRight w:val="0"/>
      <w:marTop w:val="0"/>
      <w:marBottom w:val="0"/>
      <w:divBdr>
        <w:top w:val="none" w:sz="0" w:space="0" w:color="auto"/>
        <w:left w:val="none" w:sz="0" w:space="0" w:color="auto"/>
        <w:bottom w:val="none" w:sz="0" w:space="0" w:color="auto"/>
        <w:right w:val="none" w:sz="0" w:space="0" w:color="auto"/>
      </w:divBdr>
    </w:div>
    <w:div w:id="1856261996">
      <w:bodyDiv w:val="1"/>
      <w:marLeft w:val="0"/>
      <w:marRight w:val="0"/>
      <w:marTop w:val="0"/>
      <w:marBottom w:val="0"/>
      <w:divBdr>
        <w:top w:val="none" w:sz="0" w:space="0" w:color="auto"/>
        <w:left w:val="none" w:sz="0" w:space="0" w:color="auto"/>
        <w:bottom w:val="none" w:sz="0" w:space="0" w:color="auto"/>
        <w:right w:val="none" w:sz="0" w:space="0" w:color="auto"/>
      </w:divBdr>
      <w:divsChild>
        <w:div w:id="1287933507">
          <w:marLeft w:val="0"/>
          <w:marRight w:val="0"/>
          <w:marTop w:val="0"/>
          <w:marBottom w:val="0"/>
          <w:divBdr>
            <w:top w:val="none" w:sz="0" w:space="0" w:color="auto"/>
            <w:left w:val="none" w:sz="0" w:space="0" w:color="auto"/>
            <w:bottom w:val="none" w:sz="0" w:space="0" w:color="auto"/>
            <w:right w:val="none" w:sz="0" w:space="0" w:color="auto"/>
          </w:divBdr>
          <w:divsChild>
            <w:div w:id="1191794866">
              <w:marLeft w:val="0"/>
              <w:marRight w:val="0"/>
              <w:marTop w:val="0"/>
              <w:marBottom w:val="0"/>
              <w:divBdr>
                <w:top w:val="none" w:sz="0" w:space="0" w:color="auto"/>
                <w:left w:val="none" w:sz="0" w:space="0" w:color="auto"/>
                <w:bottom w:val="none" w:sz="0" w:space="0" w:color="auto"/>
                <w:right w:val="none" w:sz="0" w:space="0" w:color="auto"/>
              </w:divBdr>
              <w:divsChild>
                <w:div w:id="219174089">
                  <w:marLeft w:val="0"/>
                  <w:marRight w:val="0"/>
                  <w:marTop w:val="0"/>
                  <w:marBottom w:val="0"/>
                  <w:divBdr>
                    <w:top w:val="none" w:sz="0" w:space="0" w:color="auto"/>
                    <w:left w:val="none" w:sz="0" w:space="0" w:color="auto"/>
                    <w:bottom w:val="none" w:sz="0" w:space="0" w:color="auto"/>
                    <w:right w:val="none" w:sz="0" w:space="0" w:color="auto"/>
                  </w:divBdr>
                </w:div>
                <w:div w:id="89820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210261">
      <w:bodyDiv w:val="1"/>
      <w:marLeft w:val="0"/>
      <w:marRight w:val="0"/>
      <w:marTop w:val="0"/>
      <w:marBottom w:val="0"/>
      <w:divBdr>
        <w:top w:val="none" w:sz="0" w:space="0" w:color="auto"/>
        <w:left w:val="none" w:sz="0" w:space="0" w:color="auto"/>
        <w:bottom w:val="none" w:sz="0" w:space="0" w:color="auto"/>
        <w:right w:val="none" w:sz="0" w:space="0" w:color="auto"/>
      </w:divBdr>
    </w:div>
    <w:div w:id="2084642159">
      <w:bodyDiv w:val="1"/>
      <w:marLeft w:val="0"/>
      <w:marRight w:val="0"/>
      <w:marTop w:val="0"/>
      <w:marBottom w:val="0"/>
      <w:divBdr>
        <w:top w:val="none" w:sz="0" w:space="0" w:color="auto"/>
        <w:left w:val="none" w:sz="0" w:space="0" w:color="auto"/>
        <w:bottom w:val="none" w:sz="0" w:space="0" w:color="auto"/>
        <w:right w:val="none" w:sz="0" w:space="0" w:color="auto"/>
      </w:divBdr>
      <w:divsChild>
        <w:div w:id="676927226">
          <w:marLeft w:val="0"/>
          <w:marRight w:val="0"/>
          <w:marTop w:val="0"/>
          <w:marBottom w:val="0"/>
          <w:divBdr>
            <w:top w:val="none" w:sz="0" w:space="0" w:color="auto"/>
            <w:left w:val="none" w:sz="0" w:space="0" w:color="auto"/>
            <w:bottom w:val="none" w:sz="0" w:space="0" w:color="auto"/>
            <w:right w:val="none" w:sz="0" w:space="0" w:color="auto"/>
          </w:divBdr>
          <w:divsChild>
            <w:div w:id="152135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lc.ibsedu.bg/lib/editor/tinymce/tiny_mce/3.3.9.2/plugins/paste/pasteword.htm" TargetMode="External"/><Relationship Id="rId3" Type="http://schemas.openxmlformats.org/officeDocument/2006/relationships/styles" Target="styles.xml"/><Relationship Id="rId7" Type="http://schemas.openxmlformats.org/officeDocument/2006/relationships/hyperlink" Target="http://dlc.ibsedu.bg/lib/editor/tinymce/tiny_mce/3.3.9.2/plugins/paste/pasteword.ht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dlc.ibsedu.bg/lib/editor/tinymce/tiny_mce/3.3.9.2/plugins/paste/pasteword.ht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dlc.ibsedu.bg/lib/editor/tinymce/tiny_mce/3.3.9.2/plugins/paste/pasteword.htm" TargetMode="External"/><Relationship Id="rId4" Type="http://schemas.openxmlformats.org/officeDocument/2006/relationships/settings" Target="settings.xml"/><Relationship Id="rId9" Type="http://schemas.openxmlformats.org/officeDocument/2006/relationships/hyperlink" Target="http://dlc.ibsedu.bg/mod/page/view.php?id=244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B6A5AE-42EA-42E1-84D5-EDEC6DB75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703</Words>
  <Characters>4013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Pesho</dc:creator>
  <cp:keywords/>
  <dc:description/>
  <cp:lastModifiedBy>Pesho</cp:lastModifiedBy>
  <cp:revision>2</cp:revision>
  <dcterms:created xsi:type="dcterms:W3CDTF">2015-09-18T16:45:00Z</dcterms:created>
  <dcterms:modified xsi:type="dcterms:W3CDTF">2015-09-18T16:45:00Z</dcterms:modified>
</cp:coreProperties>
</file>